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5CAB1" w14:textId="476E014E" w:rsidR="009416B0" w:rsidRDefault="009416B0" w:rsidP="009416B0">
      <w:pPr>
        <w:rPr>
          <w:rFonts w:ascii="Arial" w:hAnsi="Arial" w:cs="Arial"/>
          <w:b/>
          <w:bCs/>
          <w:sz w:val="24"/>
          <w:szCs w:val="24"/>
          <w:u w:val="single"/>
        </w:rPr>
      </w:pPr>
      <w:r>
        <w:rPr>
          <w:rFonts w:ascii="Arial" w:hAnsi="Arial" w:cs="Arial"/>
          <w:b/>
          <w:bCs/>
          <w:sz w:val="24"/>
          <w:szCs w:val="24"/>
          <w:u w:val="single"/>
        </w:rPr>
        <w:t>AstraZeneca</w:t>
      </w:r>
      <w:r w:rsidR="00E844C1">
        <w:rPr>
          <w:rFonts w:ascii="Arial" w:hAnsi="Arial" w:cs="Arial"/>
          <w:b/>
          <w:bCs/>
          <w:sz w:val="24"/>
          <w:szCs w:val="24"/>
          <w:u w:val="single"/>
        </w:rPr>
        <w:t> :  Liens pour</w:t>
      </w:r>
      <w:r w:rsidR="00050674">
        <w:rPr>
          <w:rFonts w:ascii="Arial" w:hAnsi="Arial" w:cs="Arial"/>
          <w:b/>
          <w:bCs/>
          <w:sz w:val="24"/>
          <w:szCs w:val="24"/>
          <w:u w:val="single"/>
        </w:rPr>
        <w:t xml:space="preserve"> </w:t>
      </w:r>
      <w:r w:rsidR="00E844C1">
        <w:rPr>
          <w:rFonts w:ascii="Arial" w:hAnsi="Arial" w:cs="Arial"/>
          <w:b/>
          <w:bCs/>
          <w:sz w:val="24"/>
          <w:szCs w:val="24"/>
          <w:u w:val="single"/>
        </w:rPr>
        <w:t>quatre articles à afficher</w:t>
      </w:r>
    </w:p>
    <w:p w14:paraId="6234EA2C" w14:textId="558F5DD5" w:rsidR="00B26570" w:rsidRPr="00B26570" w:rsidRDefault="00EC7BAE" w:rsidP="009416B0">
      <w:pPr>
        <w:rPr>
          <w:rFonts w:ascii="Arial" w:hAnsi="Arial" w:cs="Arial"/>
          <w:sz w:val="24"/>
          <w:szCs w:val="24"/>
        </w:rPr>
      </w:pPr>
      <w:r>
        <w:rPr>
          <w:rFonts w:ascii="Arial" w:hAnsi="Arial" w:cs="Arial"/>
          <w:sz w:val="24"/>
          <w:szCs w:val="24"/>
        </w:rPr>
        <w:t>D</w:t>
      </w:r>
      <w:r w:rsidR="00B26570">
        <w:rPr>
          <w:rFonts w:ascii="Arial" w:hAnsi="Arial" w:cs="Arial"/>
          <w:sz w:val="24"/>
          <w:szCs w:val="24"/>
        </w:rPr>
        <w:t>APAGLIFLOZINE</w:t>
      </w:r>
      <w:r>
        <w:rPr>
          <w:rFonts w:ascii="Arial" w:hAnsi="Arial" w:cs="Arial"/>
          <w:sz w:val="24"/>
          <w:szCs w:val="24"/>
        </w:rPr>
        <w:t xml:space="preserve"> (1)</w:t>
      </w:r>
    </w:p>
    <w:p w14:paraId="25AA1870" w14:textId="4D4212F3" w:rsidR="009416B0" w:rsidRPr="009416B0" w:rsidRDefault="00EC7BAE" w:rsidP="009416B0">
      <w:pPr>
        <w:numPr>
          <w:ilvl w:val="0"/>
          <w:numId w:val="1"/>
        </w:numPr>
        <w:spacing w:after="0" w:line="240" w:lineRule="auto"/>
        <w:rPr>
          <w:rFonts w:eastAsia="Times New Roman"/>
        </w:rPr>
      </w:pPr>
      <w:hyperlink r:id="rId5" w:history="1">
        <w:r w:rsidR="009416B0" w:rsidRPr="009416B0">
          <w:rPr>
            <w:rFonts w:eastAsia="Times New Roman"/>
            <w:color w:val="0563C1" w:themeColor="hyperlink"/>
            <w:u w:val="single"/>
          </w:rPr>
          <w:t>https://www.nejm.org/doi/full/10.1056/NEJMoa2024816</w:t>
        </w:r>
      </w:hyperlink>
      <w:r w:rsidR="009416B0" w:rsidRPr="009416B0">
        <w:rPr>
          <w:rFonts w:eastAsia="Times New Roman"/>
        </w:rPr>
        <w:t xml:space="preserve"> </w:t>
      </w:r>
    </w:p>
    <w:p w14:paraId="097852BD" w14:textId="77777777" w:rsidR="009416B0" w:rsidRPr="009416B0" w:rsidRDefault="009416B0" w:rsidP="009416B0">
      <w:pPr>
        <w:shd w:val="clear" w:color="auto" w:fill="FFFFFF"/>
        <w:spacing w:line="540" w:lineRule="atLeast"/>
        <w:ind w:left="720"/>
        <w:contextualSpacing/>
        <w:textAlignment w:val="baseline"/>
        <w:rPr>
          <w:rFonts w:ascii="Helvetica" w:hAnsi="Helvetica"/>
          <w:color w:val="666666"/>
          <w:sz w:val="20"/>
          <w:szCs w:val="20"/>
          <w:lang w:val="en-CA"/>
        </w:rPr>
      </w:pPr>
      <w:r w:rsidRPr="009416B0">
        <w:rPr>
          <w:rFonts w:ascii="Helvetica" w:hAnsi="Helvetica"/>
          <w:b/>
          <w:bCs/>
          <w:color w:val="1A1A1A"/>
          <w:spacing w:val="-1"/>
          <w:bdr w:val="none" w:sz="0" w:space="0" w:color="auto" w:frame="1"/>
          <w:lang w:val="en-CA" w:eastAsia="fr-CA"/>
        </w:rPr>
        <w:t>Dapagliflozin in Patients with Chronic Kidney Disease</w:t>
      </w:r>
      <w:r w:rsidRPr="009416B0">
        <w:rPr>
          <w:rFonts w:ascii="Helvetica" w:hAnsi="Helvetica"/>
          <w:color w:val="1A1A1A"/>
          <w:spacing w:val="-1"/>
          <w:sz w:val="20"/>
          <w:szCs w:val="20"/>
          <w:bdr w:val="none" w:sz="0" w:space="0" w:color="auto" w:frame="1"/>
          <w:lang w:val="en-CA" w:eastAsia="fr-CA"/>
        </w:rPr>
        <w:t xml:space="preserve">. </w:t>
      </w:r>
      <w:r w:rsidRPr="009416B0">
        <w:rPr>
          <w:rFonts w:ascii="Helvetica" w:hAnsi="Helvetica"/>
          <w:color w:val="666666"/>
          <w:sz w:val="20"/>
          <w:szCs w:val="20"/>
          <w:lang w:val="en-CA"/>
        </w:rPr>
        <w:t>Hiddo J.L. Heerspink, Ph.D., Bergur V. Stefánsson, M.D., Ricardo Correa-Rotter, M.D., Glenn M. Chertow, M.D., Tom Greene, Ph.D., Fan-Fan Hou, M.D., Johannes F.E. Mann, M.D., John J.V. McMurray, M.D., Magnus Lindberg, M.Sc., Peter Rossing, M.D., C. David Sjöström, M.D., Roberto D. Toto, M.D., et al.,   for the DAPA-CKD Trial Committees and Investigators</w:t>
      </w:r>
      <w:hyperlink r:id="rId6" w:anchor="header_fn1" w:history="1">
        <w:r w:rsidRPr="009416B0">
          <w:rPr>
            <w:rFonts w:ascii="Helvetica" w:hAnsi="Helvetica"/>
            <w:color w:val="084E9B"/>
            <w:sz w:val="20"/>
            <w:szCs w:val="20"/>
            <w:u w:val="single"/>
            <w:bdr w:val="none" w:sz="0" w:space="0" w:color="auto" w:frame="1"/>
            <w:vertAlign w:val="superscript"/>
            <w:lang w:val="en-CA"/>
          </w:rPr>
          <w:t>*</w:t>
        </w:r>
      </w:hyperlink>
      <w:r w:rsidRPr="009416B0">
        <w:rPr>
          <w:rFonts w:ascii="Helvetica" w:hAnsi="Helvetica"/>
          <w:color w:val="666666"/>
          <w:sz w:val="20"/>
          <w:szCs w:val="20"/>
          <w:bdr w:val="none" w:sz="0" w:space="0" w:color="auto" w:frame="1"/>
          <w:vertAlign w:val="superscript"/>
          <w:lang w:val="en-CA"/>
        </w:rPr>
        <w:t xml:space="preserve">  </w:t>
      </w:r>
      <w:hyperlink r:id="rId7" w:history="1">
        <w:r w:rsidRPr="009416B0">
          <w:rPr>
            <w:rFonts w:ascii="Helvetica" w:hAnsi="Helvetica"/>
            <w:color w:val="084E9B"/>
            <w:sz w:val="20"/>
            <w:szCs w:val="20"/>
            <w:shd w:val="clear" w:color="auto" w:fill="FFFFFF"/>
            <w:lang w:val="en-CA"/>
          </w:rPr>
          <w:t>October 8, 2020</w:t>
        </w:r>
      </w:hyperlink>
      <w:r w:rsidRPr="009416B0">
        <w:rPr>
          <w:rFonts w:ascii="Helvetica" w:hAnsi="Helvetica"/>
          <w:color w:val="000000"/>
          <w:sz w:val="20"/>
          <w:szCs w:val="20"/>
          <w:lang w:val="en-CA"/>
        </w:rPr>
        <w:t xml:space="preserve"> </w:t>
      </w:r>
      <w:r w:rsidRPr="009416B0">
        <w:rPr>
          <w:rFonts w:ascii="Helvetica" w:hAnsi="Helvetica"/>
          <w:color w:val="666666"/>
          <w:sz w:val="20"/>
          <w:szCs w:val="20"/>
          <w:shd w:val="clear" w:color="auto" w:fill="FFFFFF"/>
          <w:lang w:val="en-CA"/>
        </w:rPr>
        <w:t>N Engl J Med 2020; 383:1436-1446</w:t>
      </w:r>
    </w:p>
    <w:p w14:paraId="680ACC2A" w14:textId="4B7A2039" w:rsidR="009416B0" w:rsidRDefault="009416B0" w:rsidP="009416B0">
      <w:pPr>
        <w:rPr>
          <w:lang w:val="en-CA"/>
        </w:rPr>
      </w:pPr>
    </w:p>
    <w:p w14:paraId="273317BB" w14:textId="36EF5339" w:rsidR="00EC7BAE" w:rsidRPr="00EC7BAE" w:rsidRDefault="00EC7BAE" w:rsidP="009416B0">
      <w:pPr>
        <w:rPr>
          <w:rFonts w:ascii="Arial" w:hAnsi="Arial" w:cs="Arial"/>
          <w:sz w:val="24"/>
          <w:szCs w:val="24"/>
          <w:lang w:val="en-CA"/>
        </w:rPr>
      </w:pPr>
      <w:r w:rsidRPr="00EC7BAE">
        <w:rPr>
          <w:rFonts w:ascii="Arial" w:hAnsi="Arial" w:cs="Arial"/>
          <w:sz w:val="24"/>
          <w:szCs w:val="24"/>
          <w:lang w:val="en-CA"/>
        </w:rPr>
        <w:t>Lokelma</w:t>
      </w:r>
      <w:r>
        <w:rPr>
          <w:rFonts w:ascii="Arial" w:hAnsi="Arial" w:cs="Arial"/>
          <w:sz w:val="24"/>
          <w:szCs w:val="24"/>
          <w:lang w:val="en-CA"/>
        </w:rPr>
        <w:t xml:space="preserve"> (2-3-4)</w:t>
      </w:r>
    </w:p>
    <w:p w14:paraId="0147473F" w14:textId="77777777" w:rsidR="009416B0" w:rsidRPr="009416B0" w:rsidRDefault="009416B0" w:rsidP="009416B0">
      <w:pPr>
        <w:numPr>
          <w:ilvl w:val="0"/>
          <w:numId w:val="1"/>
        </w:numPr>
        <w:spacing w:after="0" w:line="240" w:lineRule="auto"/>
        <w:rPr>
          <w:rFonts w:eastAsia="Times New Roman"/>
          <w:lang w:val="en-CA"/>
        </w:rPr>
      </w:pPr>
      <w:r w:rsidRPr="009416B0">
        <w:rPr>
          <w:rFonts w:eastAsia="Times New Roman"/>
          <w:lang w:val="en-CA"/>
        </w:rPr>
        <w:t xml:space="preserve"> </w:t>
      </w:r>
      <w:hyperlink r:id="rId8" w:history="1">
        <w:r w:rsidRPr="009416B0">
          <w:rPr>
            <w:rFonts w:eastAsia="Times New Roman"/>
            <w:color w:val="0563C1" w:themeColor="hyperlink"/>
            <w:u w:val="single"/>
            <w:lang w:val="en-CA"/>
          </w:rPr>
          <w:t>https://jamanetwork.com/journals/jama/fullarticle/1936753</w:t>
        </w:r>
      </w:hyperlink>
    </w:p>
    <w:p w14:paraId="2684E327" w14:textId="77777777" w:rsidR="009416B0" w:rsidRPr="009416B0" w:rsidRDefault="009416B0" w:rsidP="009416B0">
      <w:pPr>
        <w:spacing w:before="48" w:after="84" w:line="240" w:lineRule="auto"/>
        <w:outlineLvl w:val="0"/>
        <w:rPr>
          <w:rFonts w:ascii="Helvetica Neue" w:eastAsia="Times New Roman" w:hAnsi="Helvetica Neue" w:cs="Calibri"/>
          <w:b/>
          <w:bCs/>
          <w:color w:val="333333"/>
          <w:kern w:val="36"/>
          <w:lang w:val="en-CA" w:eastAsia="fr-CA"/>
        </w:rPr>
      </w:pPr>
      <w:r w:rsidRPr="009416B0">
        <w:rPr>
          <w:rFonts w:ascii="Helvetica Neue" w:eastAsia="Times New Roman" w:hAnsi="Helvetica Neue" w:cs="Calibri"/>
          <w:b/>
          <w:bCs/>
          <w:color w:val="333333"/>
          <w:kern w:val="36"/>
          <w:lang w:val="en-CA" w:eastAsia="fr-CA"/>
        </w:rPr>
        <w:t xml:space="preserve">Effect of Sodium Zirconium Cyclosilicate on Potassium Lowering for 28 Days Among Outpatients With Hyperkalemia  </w:t>
      </w:r>
      <w:r w:rsidRPr="009416B0">
        <w:rPr>
          <w:rFonts w:ascii="Helvetica Neue" w:eastAsia="Times New Roman" w:hAnsi="Helvetica Neue" w:cs="Calibri"/>
          <w:color w:val="333333"/>
          <w:kern w:val="36"/>
          <w:lang w:val="en-CA" w:eastAsia="fr-CA"/>
        </w:rPr>
        <w:t>The HARMONIZE Randomized Clinical Trial</w:t>
      </w:r>
    </w:p>
    <w:p w14:paraId="530B098A" w14:textId="77777777" w:rsidR="009416B0" w:rsidRPr="009416B0" w:rsidRDefault="00EC7BAE" w:rsidP="009416B0">
      <w:pPr>
        <w:rPr>
          <w:rFonts w:ascii="Helvetica Neue" w:hAnsi="Helvetica Neue"/>
          <w:color w:val="333333"/>
          <w:sz w:val="20"/>
          <w:szCs w:val="20"/>
          <w:lang w:val="en-CA"/>
        </w:rPr>
      </w:pPr>
      <w:hyperlink r:id="rId9" w:tgtFrame="_blank" w:history="1">
        <w:r w:rsidR="009416B0" w:rsidRPr="009416B0">
          <w:rPr>
            <w:rFonts w:ascii="Helvetica Neue" w:hAnsi="Helvetica Neue"/>
            <w:color w:val="444444"/>
            <w:sz w:val="20"/>
            <w:szCs w:val="20"/>
            <w:u w:val="single"/>
            <w:lang w:val="en-CA"/>
          </w:rPr>
          <w:t>Mikhail Kosiborod, MD</w:t>
        </w:r>
        <w:r w:rsidR="009416B0" w:rsidRPr="009416B0">
          <w:rPr>
            <w:rFonts w:ascii="Helvetica Neue" w:hAnsi="Helvetica Neue"/>
            <w:color w:val="444444"/>
            <w:sz w:val="20"/>
            <w:szCs w:val="20"/>
            <w:u w:val="single"/>
            <w:vertAlign w:val="superscript"/>
            <w:lang w:val="en-CA"/>
          </w:rPr>
          <w:t>1,2</w:t>
        </w:r>
      </w:hyperlink>
      <w:r w:rsidR="009416B0" w:rsidRPr="009416B0">
        <w:rPr>
          <w:rFonts w:ascii="Helvetica Neue" w:hAnsi="Helvetica Neue"/>
          <w:color w:val="333333"/>
          <w:sz w:val="20"/>
          <w:szCs w:val="20"/>
          <w:lang w:val="en-CA"/>
        </w:rPr>
        <w:t>; </w:t>
      </w:r>
      <w:hyperlink r:id="rId10" w:tgtFrame="_blank" w:history="1">
        <w:r w:rsidR="009416B0" w:rsidRPr="009416B0">
          <w:rPr>
            <w:rFonts w:ascii="Helvetica Neue" w:hAnsi="Helvetica Neue"/>
            <w:color w:val="444444"/>
            <w:sz w:val="20"/>
            <w:szCs w:val="20"/>
            <w:u w:val="single"/>
            <w:lang w:val="en-CA"/>
          </w:rPr>
          <w:t>Henrik S. Rasmussen, MD, PhD</w:t>
        </w:r>
        <w:r w:rsidR="009416B0" w:rsidRPr="009416B0">
          <w:rPr>
            <w:rFonts w:ascii="Helvetica Neue" w:hAnsi="Helvetica Neue"/>
            <w:color w:val="444444"/>
            <w:sz w:val="20"/>
            <w:szCs w:val="20"/>
            <w:u w:val="single"/>
            <w:vertAlign w:val="superscript"/>
            <w:lang w:val="en-CA"/>
          </w:rPr>
          <w:t>3</w:t>
        </w:r>
      </w:hyperlink>
      <w:r w:rsidR="009416B0" w:rsidRPr="009416B0">
        <w:rPr>
          <w:rFonts w:ascii="Helvetica Neue" w:hAnsi="Helvetica Neue"/>
          <w:color w:val="333333"/>
          <w:sz w:val="20"/>
          <w:szCs w:val="20"/>
          <w:lang w:val="en-CA"/>
        </w:rPr>
        <w:t>; </w:t>
      </w:r>
      <w:hyperlink r:id="rId11" w:tgtFrame="_blank" w:history="1">
        <w:r w:rsidR="009416B0" w:rsidRPr="009416B0">
          <w:rPr>
            <w:rFonts w:ascii="Helvetica Neue" w:hAnsi="Helvetica Neue"/>
            <w:color w:val="444444"/>
            <w:sz w:val="20"/>
            <w:szCs w:val="20"/>
            <w:u w:val="single"/>
            <w:lang w:val="en-CA"/>
          </w:rPr>
          <w:t>Philip Lavin, PhD</w:t>
        </w:r>
        <w:r w:rsidR="009416B0" w:rsidRPr="009416B0">
          <w:rPr>
            <w:rFonts w:ascii="Helvetica Neue" w:hAnsi="Helvetica Neue"/>
            <w:color w:val="444444"/>
            <w:sz w:val="20"/>
            <w:szCs w:val="20"/>
            <w:u w:val="single"/>
            <w:vertAlign w:val="superscript"/>
            <w:lang w:val="en-CA"/>
          </w:rPr>
          <w:t>4</w:t>
        </w:r>
      </w:hyperlink>
      <w:r w:rsidR="009416B0" w:rsidRPr="009416B0">
        <w:rPr>
          <w:rFonts w:ascii="Helvetica Neue" w:hAnsi="Helvetica Neue"/>
          <w:color w:val="333333"/>
          <w:sz w:val="20"/>
          <w:szCs w:val="20"/>
          <w:lang w:val="en-CA"/>
        </w:rPr>
        <w:t>; et al</w:t>
      </w:r>
      <w:r w:rsidR="009416B0" w:rsidRPr="009416B0">
        <w:rPr>
          <w:rFonts w:ascii="Helvetica Neue" w:hAnsi="Helvetica Neue"/>
          <w:i/>
          <w:iCs/>
          <w:color w:val="333333"/>
          <w:sz w:val="20"/>
          <w:szCs w:val="20"/>
          <w:u w:val="single"/>
          <w:lang w:val="en-CA"/>
        </w:rPr>
        <w:t xml:space="preserve"> </w:t>
      </w:r>
      <w:r w:rsidR="009416B0" w:rsidRPr="009416B0">
        <w:rPr>
          <w:rFonts w:ascii="Helvetica Neue" w:hAnsi="Helvetica Neue"/>
          <w:i/>
          <w:iCs/>
          <w:color w:val="333333"/>
          <w:sz w:val="20"/>
          <w:szCs w:val="20"/>
          <w:lang w:val="en-CA"/>
        </w:rPr>
        <w:t>JAMA. </w:t>
      </w:r>
      <w:r w:rsidR="009416B0" w:rsidRPr="009416B0">
        <w:rPr>
          <w:rFonts w:ascii="Helvetica Neue" w:hAnsi="Helvetica Neue"/>
          <w:color w:val="333333"/>
          <w:sz w:val="20"/>
          <w:szCs w:val="20"/>
          <w:lang w:val="en-CA"/>
        </w:rPr>
        <w:t>2014;312(21):2223-2233</w:t>
      </w:r>
    </w:p>
    <w:p w14:paraId="6979C537" w14:textId="77777777" w:rsidR="009416B0" w:rsidRPr="009416B0" w:rsidRDefault="009416B0" w:rsidP="009416B0">
      <w:pPr>
        <w:rPr>
          <w:lang w:val="en-CA"/>
        </w:rPr>
      </w:pPr>
    </w:p>
    <w:p w14:paraId="7F8FBB79" w14:textId="77777777" w:rsidR="009416B0" w:rsidRPr="009416B0" w:rsidRDefault="00EC7BAE" w:rsidP="009416B0">
      <w:pPr>
        <w:numPr>
          <w:ilvl w:val="0"/>
          <w:numId w:val="1"/>
        </w:numPr>
        <w:spacing w:after="0" w:line="240" w:lineRule="auto"/>
        <w:rPr>
          <w:rFonts w:eastAsia="Times New Roman"/>
          <w:lang w:val="en-CA"/>
        </w:rPr>
      </w:pPr>
      <w:hyperlink r:id="rId12" w:history="1">
        <w:r w:rsidR="009416B0" w:rsidRPr="009416B0">
          <w:rPr>
            <w:rFonts w:eastAsia="Times New Roman"/>
            <w:color w:val="0563C1" w:themeColor="hyperlink"/>
            <w:u w:val="single"/>
            <w:lang w:val="en-CA"/>
          </w:rPr>
          <w:t>https://cjasn.asnjournals.org/content/14/6/798.long</w:t>
        </w:r>
      </w:hyperlink>
    </w:p>
    <w:p w14:paraId="481811C2" w14:textId="77777777" w:rsidR="009416B0" w:rsidRPr="009416B0" w:rsidRDefault="009416B0" w:rsidP="009416B0">
      <w:pPr>
        <w:shd w:val="clear" w:color="auto" w:fill="FFFFFF"/>
        <w:spacing w:after="150" w:line="293" w:lineRule="atLeast"/>
        <w:ind w:left="720"/>
        <w:contextualSpacing/>
        <w:textAlignment w:val="baseline"/>
        <w:rPr>
          <w:b/>
          <w:bCs/>
          <w:color w:val="2C3133"/>
          <w:lang w:val="en-CA" w:eastAsia="fr-CA"/>
        </w:rPr>
      </w:pPr>
      <w:r w:rsidRPr="009416B0">
        <w:rPr>
          <w:rFonts w:ascii="Helvetica" w:hAnsi="Helvetica"/>
          <w:b/>
          <w:bCs/>
          <w:color w:val="2C3133"/>
          <w:spacing w:val="-7"/>
          <w:lang w:val="en-CA" w:eastAsia="fr-CA"/>
        </w:rPr>
        <w:t xml:space="preserve">Sodium Zirconium Cyclosilicate among Individuals with Hyperkalemia                   </w:t>
      </w:r>
      <w:r w:rsidRPr="009416B0">
        <w:rPr>
          <w:b/>
          <w:bCs/>
          <w:color w:val="2C3133"/>
          <w:lang w:val="en-CA" w:eastAsia="fr-CA"/>
        </w:rPr>
        <w:t>A 12-Month Phase 3 Study</w:t>
      </w:r>
    </w:p>
    <w:p w14:paraId="5E6E229B" w14:textId="77777777" w:rsidR="009416B0" w:rsidRPr="009416B0" w:rsidRDefault="009416B0" w:rsidP="009416B0">
      <w:pPr>
        <w:shd w:val="clear" w:color="auto" w:fill="FFFFFF"/>
        <w:spacing w:line="319" w:lineRule="atLeast"/>
        <w:ind w:left="720"/>
        <w:contextualSpacing/>
        <w:textAlignment w:val="baseline"/>
        <w:rPr>
          <w:rFonts w:ascii="Helvetica" w:hAnsi="Helvetica"/>
          <w:color w:val="50595C"/>
          <w:sz w:val="20"/>
          <w:szCs w:val="20"/>
          <w:lang w:val="en-CA" w:eastAsia="fr-CA"/>
        </w:rPr>
      </w:pPr>
      <w:r w:rsidRPr="009416B0">
        <w:rPr>
          <w:rFonts w:ascii="Helvetica" w:hAnsi="Helvetica"/>
          <w:color w:val="50595C"/>
          <w:sz w:val="20"/>
          <w:szCs w:val="20"/>
          <w:bdr w:val="none" w:sz="0" w:space="0" w:color="auto" w:frame="1"/>
          <w:lang w:val="en-CA" w:eastAsia="fr-CA"/>
        </w:rPr>
        <w:t>Bruce S. Spinowitz, Steven Fishbane, Pablo E. Pergola, Simon D. Roger, Edgar V. Lerma, Javed Butler, Stephan von Haehling, Scott H. Adler, June Zhao, Bhupinder Singh, Philip T. Lavin, Peter A. McCullough, Mikhail Kosiborod, David K. Packham and on behalf of the ZS-005 Study Investigators</w:t>
      </w:r>
    </w:p>
    <w:p w14:paraId="42327A10" w14:textId="77777777" w:rsidR="009416B0" w:rsidRPr="009416B0" w:rsidRDefault="009416B0" w:rsidP="009416B0">
      <w:pPr>
        <w:shd w:val="clear" w:color="auto" w:fill="FFFFFF"/>
        <w:spacing w:line="319" w:lineRule="atLeast"/>
        <w:ind w:left="720"/>
        <w:contextualSpacing/>
        <w:textAlignment w:val="baseline"/>
        <w:rPr>
          <w:rFonts w:ascii="Helvetica" w:hAnsi="Helvetica"/>
          <w:color w:val="50595C"/>
          <w:sz w:val="20"/>
          <w:szCs w:val="20"/>
          <w:lang w:val="en-CA" w:eastAsia="fr-CA"/>
        </w:rPr>
      </w:pPr>
      <w:r w:rsidRPr="009416B0">
        <w:rPr>
          <w:rFonts w:ascii="Helvetica" w:hAnsi="Helvetica"/>
          <w:color w:val="50595C"/>
          <w:sz w:val="20"/>
          <w:szCs w:val="20"/>
          <w:bdr w:val="none" w:sz="0" w:space="0" w:color="auto" w:frame="1"/>
          <w:lang w:val="en-CA" w:eastAsia="fr-CA"/>
        </w:rPr>
        <w:t>CJASN June 2019, 14 (6) 798-809</w:t>
      </w:r>
    </w:p>
    <w:p w14:paraId="258184EA" w14:textId="77777777" w:rsidR="009416B0" w:rsidRPr="009416B0" w:rsidRDefault="009416B0" w:rsidP="009416B0">
      <w:pPr>
        <w:rPr>
          <w:lang w:val="en-CA"/>
        </w:rPr>
      </w:pPr>
    </w:p>
    <w:p w14:paraId="74D4DB53" w14:textId="77777777" w:rsidR="009416B0" w:rsidRPr="009416B0" w:rsidRDefault="00EC7BAE" w:rsidP="009416B0">
      <w:pPr>
        <w:numPr>
          <w:ilvl w:val="0"/>
          <w:numId w:val="1"/>
        </w:numPr>
        <w:spacing w:after="0" w:line="240" w:lineRule="auto"/>
        <w:rPr>
          <w:rFonts w:eastAsia="Times New Roman"/>
          <w:lang w:val="en-CA"/>
        </w:rPr>
      </w:pPr>
      <w:hyperlink r:id="rId13" w:history="1">
        <w:r w:rsidR="009416B0" w:rsidRPr="009416B0">
          <w:rPr>
            <w:rFonts w:eastAsia="Times New Roman"/>
            <w:color w:val="0563C1" w:themeColor="hyperlink"/>
            <w:u w:val="single"/>
            <w:lang w:val="en-CA"/>
          </w:rPr>
          <w:t>https://jasn.asnjournals.org/content/30/9/1723</w:t>
        </w:r>
      </w:hyperlink>
    </w:p>
    <w:p w14:paraId="24EEE296" w14:textId="77777777" w:rsidR="009416B0" w:rsidRPr="009416B0" w:rsidRDefault="009416B0" w:rsidP="009416B0">
      <w:pPr>
        <w:shd w:val="clear" w:color="auto" w:fill="FFFFFF"/>
        <w:spacing w:after="300" w:line="293" w:lineRule="atLeast"/>
        <w:ind w:left="720"/>
        <w:contextualSpacing/>
        <w:textAlignment w:val="baseline"/>
        <w:rPr>
          <w:rFonts w:ascii="Helvetica" w:hAnsi="Helvetica"/>
          <w:b/>
          <w:bCs/>
          <w:color w:val="574143"/>
          <w:spacing w:val="-7"/>
          <w:lang w:val="en-CA" w:eastAsia="fr-CA"/>
        </w:rPr>
      </w:pPr>
      <w:r w:rsidRPr="009416B0">
        <w:rPr>
          <w:rFonts w:ascii="Helvetica" w:hAnsi="Helvetica"/>
          <w:b/>
          <w:bCs/>
          <w:color w:val="574143"/>
          <w:spacing w:val="-7"/>
          <w:lang w:val="en-CA" w:eastAsia="fr-CA"/>
        </w:rPr>
        <w:t>A Phase 3b, Randomized, Double-Blind, Placebo-Controlled Study of Sodium Zirconium Cyclosilicate for Reducing the Incidence of Predialysis Hyperkalemia</w:t>
      </w:r>
    </w:p>
    <w:p w14:paraId="7B774977" w14:textId="77777777" w:rsidR="009416B0" w:rsidRPr="009416B0" w:rsidRDefault="009416B0" w:rsidP="009416B0">
      <w:pPr>
        <w:shd w:val="clear" w:color="auto" w:fill="FFFFFF"/>
        <w:spacing w:line="319" w:lineRule="atLeast"/>
        <w:ind w:left="720"/>
        <w:contextualSpacing/>
        <w:textAlignment w:val="baseline"/>
        <w:rPr>
          <w:rFonts w:ascii="Helvetica Neue" w:hAnsi="Helvetica Neue"/>
          <w:color w:val="2E2B2B"/>
          <w:sz w:val="20"/>
          <w:szCs w:val="20"/>
          <w:lang w:val="en-CA" w:eastAsia="fr-CA"/>
        </w:rPr>
      </w:pPr>
      <w:r w:rsidRPr="009416B0">
        <w:rPr>
          <w:rFonts w:ascii="Helvetica Neue" w:hAnsi="Helvetica Neue"/>
          <w:color w:val="2E2B2B"/>
          <w:sz w:val="20"/>
          <w:szCs w:val="20"/>
          <w:bdr w:val="none" w:sz="0" w:space="0" w:color="auto" w:frame="1"/>
          <w:lang w:val="en-CA" w:eastAsia="fr-CA"/>
        </w:rPr>
        <w:t>Steven Fishbane, Martin Ford, Masafumi Fukagawa, Kieran McCafferty, Anjay Rastogi, Bruce Spinowitz, Konstantin Staroselskiy, Konstantin Vishnevskiy, Vera Lisovskaja, Ayman Al-Shurbaji, Nicolas Guzman and Sunil Bhandari JASN September 2019, 30 (9) 1723-1733</w:t>
      </w:r>
    </w:p>
    <w:p w14:paraId="6DE845BA" w14:textId="77777777" w:rsidR="00756C65" w:rsidRPr="009416B0" w:rsidRDefault="00756C65">
      <w:pPr>
        <w:rPr>
          <w:lang w:val="en-CA"/>
        </w:rPr>
      </w:pPr>
    </w:p>
    <w:sectPr w:rsidR="00756C65" w:rsidRPr="009416B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5170DA"/>
    <w:multiLevelType w:val="hybridMultilevel"/>
    <w:tmpl w:val="BDBEB8A2"/>
    <w:lvl w:ilvl="0" w:tplc="0C0C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B0"/>
    <w:rsid w:val="00050674"/>
    <w:rsid w:val="00756C65"/>
    <w:rsid w:val="009416B0"/>
    <w:rsid w:val="00B26570"/>
    <w:rsid w:val="00C611D0"/>
    <w:rsid w:val="00E844C1"/>
    <w:rsid w:val="00EC7BA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56E78"/>
  <w15:chartTrackingRefBased/>
  <w15:docId w15:val="{C59A15FF-9814-4B91-BF62-C91C7A0FD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26570"/>
    <w:rPr>
      <w:color w:val="0563C1" w:themeColor="hyperlink"/>
      <w:u w:val="single"/>
    </w:rPr>
  </w:style>
  <w:style w:type="character" w:styleId="Mentionnonrsolue">
    <w:name w:val="Unresolved Mention"/>
    <w:basedOn w:val="Policepardfaut"/>
    <w:uiPriority w:val="99"/>
    <w:semiHidden/>
    <w:unhideWhenUsed/>
    <w:rsid w:val="00B265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amanetwork.com/journals/jama/fullarticle/1936753" TargetMode="External"/><Relationship Id="rId13" Type="http://schemas.openxmlformats.org/officeDocument/2006/relationships/hyperlink" Target="https://jasn.asnjournals.org/content/30/9/1723" TargetMode="External"/><Relationship Id="rId3" Type="http://schemas.openxmlformats.org/officeDocument/2006/relationships/settings" Target="settings.xml"/><Relationship Id="rId7" Type="http://schemas.openxmlformats.org/officeDocument/2006/relationships/hyperlink" Target="https://www.nejm.org/toc/nejm/383/15?query=article_issue_link" TargetMode="External"/><Relationship Id="rId12" Type="http://schemas.openxmlformats.org/officeDocument/2006/relationships/hyperlink" Target="https://cjasn.asnjournals.org/content/14/6/798.lo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jm.org/doi/full/10.1056/NEJMoa2024816" TargetMode="External"/><Relationship Id="rId11" Type="http://schemas.openxmlformats.org/officeDocument/2006/relationships/hyperlink" Target="https://jamanetwork.com/searchresults?author=Philip+Lavin&amp;q=Philip+Lavin" TargetMode="External"/><Relationship Id="rId5" Type="http://schemas.openxmlformats.org/officeDocument/2006/relationships/hyperlink" Target="https://www.nejm.org/doi/full/10.1056/NEJMoa2024816" TargetMode="External"/><Relationship Id="rId15" Type="http://schemas.openxmlformats.org/officeDocument/2006/relationships/theme" Target="theme/theme1.xml"/><Relationship Id="rId10" Type="http://schemas.openxmlformats.org/officeDocument/2006/relationships/hyperlink" Target="https://jamanetwork.com/searchresults?author=Henrik+S.+Rasmussen&amp;q=Henrik+S.+Rasmussen" TargetMode="External"/><Relationship Id="rId4" Type="http://schemas.openxmlformats.org/officeDocument/2006/relationships/webSettings" Target="webSettings.xml"/><Relationship Id="rId9" Type="http://schemas.openxmlformats.org/officeDocument/2006/relationships/hyperlink" Target="https://jamanetwork.com/searchresults?author=Mikhail+Kosiborod&amp;q=Mikhail+Kosiborod"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404</Words>
  <Characters>2226</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Harrisson, Francis</dc:creator>
  <cp:keywords/>
  <dc:description/>
  <cp:lastModifiedBy>Harrisson, Francis</cp:lastModifiedBy>
  <cp:revision>5</cp:revision>
  <dcterms:created xsi:type="dcterms:W3CDTF">2021-11-23T04:48:00Z</dcterms:created>
  <dcterms:modified xsi:type="dcterms:W3CDTF">2021-11-23T14:27:00Z</dcterms:modified>
</cp:coreProperties>
</file>